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rFonts w:ascii="Arial" w:cs="Arial" w:eastAsia="Arial" w:hAnsi="Arial"/>
          <w:b/>
          <w:bCs/>
          <w:color w:val="2f4fd6"/>
          <w:sz w:val="20"/>
          <w:szCs w:val="20"/>
        </w:rPr>
        <w:t xml:space="preserve">CHECKLISTE</w:t>
      </w:r>
    </w:p>
    <w:p>
      <w:pPr>
        <w:spacing w:after="120"/>
      </w:pPr>
      <w:r>
        <w:rPr>
          <w:rFonts w:ascii="Arial" w:cs="Arial" w:eastAsia="Arial" w:hAnsi="Arial"/>
          <w:b/>
          <w:bCs/>
          <w:sz w:val="44"/>
          <w:szCs w:val="44"/>
        </w:rPr>
        <w:t xml:space="preserve">Haus oder Wohnung privat verkaufen</w:t>
      </w:r>
    </w:p>
    <w:p>
      <w:pPr>
        <w:spacing w:after="240"/>
      </w:pPr>
      <w:r>
        <w:rPr>
          <w:rFonts w:ascii="Arial" w:cs="Arial" w:eastAsia="Arial" w:hAnsi="Arial"/>
          <w:color w:val="6b7080"/>
          <w:sz w:val="21"/>
          <w:szCs w:val="21"/>
        </w:rPr>
        <w:t xml:space="preserve">Alle Schritte vom ersten Grundbuchauszug bis zur Schlüsselübergabe, nach Phasen geordnet, und die Unterlagen, die Interessenten, Banken und Notar sehen wollen. Haken Sie ab, was erledigt ist.</w:t>
      </w:r>
    </w:p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Ablauf in acht Phasen</w:t>
      </w:r>
    </w:p>
    <w:p>
      <w:pPr>
        <w:keepNext/>
        <w:spacing w:after="100" w:before="240"/>
      </w:pPr>
      <w:r>
        <w:rPr>
          <w:rFonts w:ascii="Arial" w:cs="Arial" w:eastAsia="Arial" w:hAnsi="Arial"/>
          <w:b/>
          <w:bCs/>
          <w:color w:val="2f4fd6"/>
          <w:sz w:val="23"/>
          <w:szCs w:val="23"/>
        </w:rPr>
        <w:t xml:space="preserve">1  </w:t>
      </w:r>
      <w:r>
        <w:rPr>
          <w:rFonts w:ascii="Arial" w:cs="Arial" w:eastAsia="Arial" w:hAnsi="Arial"/>
          <w:b/>
          <w:bCs/>
          <w:sz w:val="23"/>
          <w:szCs w:val="23"/>
        </w:rPr>
        <w:t xml:space="preserve">Vorbereitung</w:t>
      </w:r>
    </w:p>
    <w:p>
      <w:pPr>
        <w:tabs>
          <w:tab w:val="left" w:pos="400"/>
        </w:tabs>
        <w:spacing w:after="80"/>
        <w:ind w:left="400" w:hanging="40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sz w:val="20"/>
          <w:szCs w:val="20"/>
        </w:rPr>
        <w:t xml:space="preserve">	Grundbuch prüfen: Stimmen die Eigentümer, welche Rechte und Grundschulden sind eingetragen?</w:t>
      </w:r>
    </w:p>
    <w:p>
      <w:pPr>
        <w:tabs>
          <w:tab w:val="left" w:pos="400"/>
        </w:tabs>
        <w:spacing w:after="80"/>
        <w:ind w:left="400" w:hanging="40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sz w:val="20"/>
          <w:szCs w:val="20"/>
        </w:rPr>
        <w:t xml:space="preserve">	Bei Miteigentum oder Erbengemeinschaft: alle Eigentümer sind mit dem Verkauf einverstanden</w:t>
      </w:r>
    </w:p>
    <w:p>
      <w:pPr>
        <w:tabs>
          <w:tab w:val="left" w:pos="400"/>
        </w:tabs>
        <w:spacing w:after="80"/>
        <w:ind w:left="400" w:hanging="40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sz w:val="20"/>
          <w:szCs w:val="20"/>
        </w:rPr>
        <w:t xml:space="preserve">	Mit der Bank klären, wie laufende Darlehen abgelöst werden und ob eine Vorfälligkeitsentschädigung anfällt</w:t>
      </w:r>
    </w:p>
    <w:p>
      <w:pPr>
        <w:tabs>
          <w:tab w:val="left" w:pos="400"/>
        </w:tabs>
        <w:spacing w:after="80"/>
        <w:ind w:left="400" w:hanging="40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sz w:val="20"/>
          <w:szCs w:val="20"/>
        </w:rPr>
        <w:t xml:space="preserve">	Steuerliche Folgen prüfen lassen, etwa bei Verkauf innerhalb von zehn Jahren nach dem Kauf</w:t>
      </w:r>
    </w:p>
    <w:p>
      <w:pPr>
        <w:tabs>
          <w:tab w:val="left" w:pos="400"/>
        </w:tabs>
        <w:spacing w:after="80"/>
        <w:ind w:left="400" w:hanging="40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sz w:val="20"/>
          <w:szCs w:val="20"/>
        </w:rPr>
        <w:t xml:space="preserve">	Bei vermieteter Immobilie: Mietvertrag lesen, mögliches Vorkaufsrecht des Mieters klären</w:t>
      </w:r>
    </w:p>
    <w:p>
      <w:pPr>
        <w:tabs>
          <w:tab w:val="left" w:pos="400"/>
        </w:tabs>
        <w:spacing w:after="80"/>
        <w:ind w:left="400" w:hanging="40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sz w:val="20"/>
          <w:szCs w:val="20"/>
        </w:rPr>
        <w:t xml:space="preserve">	Zeitplan festlegen: Auszug, frühester Übergabetermin, eigene Anschlusslösung</w:t>
      </w:r>
    </w:p>
    <w:p>
      <w:pPr>
        <w:tabs>
          <w:tab w:val="left" w:pos="400"/>
        </w:tabs>
        <w:spacing w:after="80"/>
        <w:ind w:left="400" w:hanging="40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sz w:val="20"/>
          <w:szCs w:val="20"/>
        </w:rPr>
        <w:t xml:space="preserve">	Kleine Mängel beheben, Räume aufräumen und Persönliches reduzieren</w:t>
      </w:r>
    </w:p>
    <w:p>
      <w:pPr>
        <w:keepNext/>
        <w:spacing w:after="100" w:before="240"/>
      </w:pPr>
      <w:r>
        <w:rPr>
          <w:rFonts w:ascii="Arial" w:cs="Arial" w:eastAsia="Arial" w:hAnsi="Arial"/>
          <w:b/>
          <w:bCs/>
          <w:color w:val="2f4fd6"/>
          <w:sz w:val="23"/>
          <w:szCs w:val="23"/>
        </w:rPr>
        <w:t xml:space="preserve">2  </w:t>
      </w:r>
      <w:r>
        <w:rPr>
          <w:rFonts w:ascii="Arial" w:cs="Arial" w:eastAsia="Arial" w:hAnsi="Arial"/>
          <w:b/>
          <w:bCs/>
          <w:sz w:val="23"/>
          <w:szCs w:val="23"/>
        </w:rPr>
        <w:t xml:space="preserve">Wertermittlung</w:t>
      </w:r>
    </w:p>
    <w:p>
      <w:pPr>
        <w:tabs>
          <w:tab w:val="left" w:pos="400"/>
        </w:tabs>
        <w:spacing w:after="80"/>
        <w:ind w:left="400" w:hanging="40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sz w:val="20"/>
          <w:szCs w:val="20"/>
        </w:rPr>
        <w:t xml:space="preserve">	Bodenrichtwert abfragen (BORIS oder Gutachterausschuss)</w:t>
      </w:r>
    </w:p>
    <w:p>
      <w:pPr>
        <w:tabs>
          <w:tab w:val="left" w:pos="400"/>
        </w:tabs>
        <w:spacing w:after="80"/>
        <w:ind w:left="400" w:hanging="40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sz w:val="20"/>
          <w:szCs w:val="20"/>
        </w:rPr>
        <w:t xml:space="preserve">	Grundstücksmarktbericht des Gutachterausschusses für Ihre Region lesen</w:t>
      </w:r>
    </w:p>
    <w:p>
      <w:pPr>
        <w:tabs>
          <w:tab w:val="left" w:pos="400"/>
        </w:tabs>
        <w:spacing w:after="80"/>
        <w:ind w:left="400" w:hanging="40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sz w:val="20"/>
          <w:szCs w:val="20"/>
        </w:rPr>
        <w:t xml:space="preserve">	Vergleichbare Angebote auf Portalen ansehen (Angebotspreise sind keine Kaufpreise)</w:t>
      </w:r>
    </w:p>
    <w:p>
      <w:pPr>
        <w:tabs>
          <w:tab w:val="left" w:pos="400"/>
        </w:tabs>
        <w:spacing w:after="80"/>
        <w:ind w:left="400" w:hanging="40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sz w:val="20"/>
          <w:szCs w:val="20"/>
        </w:rPr>
        <w:t xml:space="preserve">	Bei Unsicherheit: Wertgutachten von Sachverständigen einholen</w:t>
      </w:r>
    </w:p>
    <w:p>
      <w:pPr>
        <w:tabs>
          <w:tab w:val="left" w:pos="400"/>
        </w:tabs>
        <w:spacing w:after="80"/>
        <w:ind w:left="400" w:hanging="40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sz w:val="20"/>
          <w:szCs w:val="20"/>
        </w:rPr>
        <w:t xml:space="preserve">	Angebotspreis und eigene Preisuntergrenze festlegen</w:t>
      </w:r>
    </w:p>
    <w:p>
      <w:pPr>
        <w:keepNext/>
        <w:spacing w:after="100" w:before="240"/>
      </w:pPr>
      <w:r>
        <w:rPr>
          <w:rFonts w:ascii="Arial" w:cs="Arial" w:eastAsia="Arial" w:hAnsi="Arial"/>
          <w:b/>
          <w:bCs/>
          <w:color w:val="2f4fd6"/>
          <w:sz w:val="23"/>
          <w:szCs w:val="23"/>
        </w:rPr>
        <w:t xml:space="preserve">3  </w:t>
      </w:r>
      <w:r>
        <w:rPr>
          <w:rFonts w:ascii="Arial" w:cs="Arial" w:eastAsia="Arial" w:hAnsi="Arial"/>
          <w:b/>
          <w:bCs/>
          <w:sz w:val="23"/>
          <w:szCs w:val="23"/>
        </w:rPr>
        <w:t xml:space="preserve">Unterlagen</w:t>
      </w:r>
    </w:p>
    <w:p>
      <w:pPr>
        <w:tabs>
          <w:tab w:val="left" w:pos="400"/>
        </w:tabs>
        <w:spacing w:after="80"/>
        <w:ind w:left="400" w:hanging="40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sz w:val="20"/>
          <w:szCs w:val="20"/>
        </w:rPr>
        <w:t xml:space="preserve">	Unterlagen nach der Liste „Unterlagen“ anfordern und sammeln</w:t>
      </w:r>
    </w:p>
    <w:p>
      <w:pPr>
        <w:tabs>
          <w:tab w:val="left" w:pos="400"/>
        </w:tabs>
        <w:spacing w:after="80"/>
        <w:ind w:left="400" w:hanging="40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sz w:val="20"/>
          <w:szCs w:val="20"/>
        </w:rPr>
        <w:t xml:space="preserve">	Gültigen Energieausweis vorliegen haben</w:t>
      </w:r>
    </w:p>
    <w:p>
      <w:pPr>
        <w:tabs>
          <w:tab w:val="left" w:pos="400"/>
        </w:tabs>
        <w:spacing w:after="80"/>
        <w:ind w:left="400" w:hanging="40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sz w:val="20"/>
          <w:szCs w:val="20"/>
        </w:rPr>
        <w:t xml:space="preserve">	Unterlagen als PDF für Interessenten, Bank und Notar bereitstellen</w:t>
      </w:r>
    </w:p>
    <w:p>
      <w:pPr>
        <w:keepNext/>
        <w:spacing w:after="100" w:before="240"/>
      </w:pPr>
      <w:r>
        <w:rPr>
          <w:rFonts w:ascii="Arial" w:cs="Arial" w:eastAsia="Arial" w:hAnsi="Arial"/>
          <w:b/>
          <w:bCs/>
          <w:color w:val="2f4fd6"/>
          <w:sz w:val="23"/>
          <w:szCs w:val="23"/>
        </w:rPr>
        <w:t xml:space="preserve">4  </w:t>
      </w:r>
      <w:r>
        <w:rPr>
          <w:rFonts w:ascii="Arial" w:cs="Arial" w:eastAsia="Arial" w:hAnsi="Arial"/>
          <w:b/>
          <w:bCs/>
          <w:sz w:val="23"/>
          <w:szCs w:val="23"/>
        </w:rPr>
        <w:t xml:space="preserve">Exposé und Inserat</w:t>
      </w:r>
    </w:p>
    <w:p>
      <w:pPr>
        <w:tabs>
          <w:tab w:val="left" w:pos="400"/>
        </w:tabs>
        <w:spacing w:after="80"/>
        <w:ind w:left="400" w:hanging="40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sz w:val="20"/>
          <w:szCs w:val="20"/>
        </w:rPr>
        <w:t xml:space="preserve">	Fotos bei Tageslicht, jeder Raum mindestens einmal, im Querformat</w:t>
      </w:r>
    </w:p>
    <w:p>
      <w:pPr>
        <w:tabs>
          <w:tab w:val="left" w:pos="400"/>
        </w:tabs>
        <w:spacing w:after="80"/>
        <w:ind w:left="400" w:hanging="40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sz w:val="20"/>
          <w:szCs w:val="20"/>
        </w:rPr>
        <w:t xml:space="preserve">	Grundriss mit Raumbezeichnungen und Flächen</w:t>
      </w:r>
    </w:p>
    <w:p>
      <w:pPr>
        <w:tabs>
          <w:tab w:val="left" w:pos="400"/>
        </w:tabs>
        <w:spacing w:after="80"/>
        <w:ind w:left="400" w:hanging="40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sz w:val="20"/>
          <w:szCs w:val="20"/>
        </w:rPr>
        <w:t xml:space="preserve">	Lagekarte als Bild für die Galerie, mit Legende und Quellenangabe</w:t>
      </w:r>
    </w:p>
    <w:p>
      <w:pPr>
        <w:tabs>
          <w:tab w:val="left" w:pos="400"/>
        </w:tabs>
        <w:spacing w:after="80"/>
        <w:ind w:left="400" w:hanging="40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sz w:val="20"/>
          <w:szCs w:val="20"/>
        </w:rPr>
        <w:t xml:space="preserve">	Exposé mit Objektdaten, Beschreibung, Lage, Preis und Kontakt</w:t>
      </w:r>
    </w:p>
    <w:p>
      <w:pPr>
        <w:tabs>
          <w:tab w:val="left" w:pos="400"/>
        </w:tabs>
        <w:spacing w:after="80"/>
        <w:ind w:left="400" w:hanging="40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sz w:val="20"/>
          <w:szCs w:val="20"/>
        </w:rPr>
        <w:t xml:space="preserve">	Pflichtangaben aus dem Energieausweis im Inserat</w:t>
      </w:r>
    </w:p>
    <w:p>
      <w:pPr>
        <w:tabs>
          <w:tab w:val="left" w:pos="400"/>
        </w:tabs>
        <w:spacing w:after="80"/>
        <w:ind w:left="400" w:hanging="40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sz w:val="20"/>
          <w:szCs w:val="20"/>
        </w:rPr>
        <w:t xml:space="preserve">	Inserat veröffentlichen, Telefonzeiten und E-Mail-Adresse für Anfragen festlegen</w:t>
      </w:r>
    </w:p>
    <w:p>
      <w:pPr>
        <w:keepNext/>
        <w:spacing w:after="100" w:before="240"/>
      </w:pPr>
      <w:r>
        <w:rPr>
          <w:rFonts w:ascii="Arial" w:cs="Arial" w:eastAsia="Arial" w:hAnsi="Arial"/>
          <w:b/>
          <w:bCs/>
          <w:color w:val="2f4fd6"/>
          <w:sz w:val="23"/>
          <w:szCs w:val="23"/>
        </w:rPr>
        <w:t xml:space="preserve">5  </w:t>
      </w:r>
      <w:r>
        <w:rPr>
          <w:rFonts w:ascii="Arial" w:cs="Arial" w:eastAsia="Arial" w:hAnsi="Arial"/>
          <w:b/>
          <w:bCs/>
          <w:sz w:val="23"/>
          <w:szCs w:val="23"/>
        </w:rPr>
        <w:t xml:space="preserve">Besichtigungen</w:t>
      </w:r>
    </w:p>
    <w:p>
      <w:pPr>
        <w:tabs>
          <w:tab w:val="left" w:pos="400"/>
        </w:tabs>
        <w:spacing w:after="80"/>
        <w:ind w:left="400" w:hanging="40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sz w:val="20"/>
          <w:szCs w:val="20"/>
        </w:rPr>
        <w:t xml:space="preserve">	Anfragen vorab klären: Finanzierung, Zeitrahmen, Eigennutzung</w:t>
      </w:r>
    </w:p>
    <w:p>
      <w:pPr>
        <w:tabs>
          <w:tab w:val="left" w:pos="400"/>
        </w:tabs>
        <w:spacing w:after="80"/>
        <w:ind w:left="400" w:hanging="40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sz w:val="20"/>
          <w:szCs w:val="20"/>
        </w:rPr>
        <w:t xml:space="preserve">	Einzeltermine vergeben, Name und Telefonnummer jedes Besuchers notieren</w:t>
      </w:r>
    </w:p>
    <w:p>
      <w:pPr>
        <w:tabs>
          <w:tab w:val="left" w:pos="400"/>
        </w:tabs>
        <w:spacing w:after="80"/>
        <w:ind w:left="400" w:hanging="40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sz w:val="20"/>
          <w:szCs w:val="20"/>
        </w:rPr>
        <w:t xml:space="preserve">	Energieausweis spätestens bei der Besichtigung vorlegen</w:t>
      </w:r>
    </w:p>
    <w:p>
      <w:pPr>
        <w:tabs>
          <w:tab w:val="left" w:pos="400"/>
        </w:tabs>
        <w:spacing w:after="80"/>
        <w:ind w:left="400" w:hanging="40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sz w:val="20"/>
          <w:szCs w:val="20"/>
        </w:rPr>
        <w:t xml:space="preserve">	Wertsachen und persönliche Unterlagen wegschließen</w:t>
      </w:r>
    </w:p>
    <w:p>
      <w:pPr>
        <w:tabs>
          <w:tab w:val="left" w:pos="400"/>
        </w:tabs>
        <w:spacing w:after="80"/>
        <w:ind w:left="400" w:hanging="40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sz w:val="20"/>
          <w:szCs w:val="20"/>
        </w:rPr>
        <w:t xml:space="preserve">	Bekannte Mängel offen ansprechen und notieren, wem Sie was gesagt haben</w:t>
      </w:r>
    </w:p>
    <w:p>
      <w:pPr>
        <w:tabs>
          <w:tab w:val="left" w:pos="400"/>
        </w:tabs>
        <w:spacing w:after="80"/>
        <w:ind w:left="400" w:hanging="40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sz w:val="20"/>
          <w:szCs w:val="20"/>
        </w:rPr>
        <w:t xml:space="preserve">	Offene Fragen notieren und schriftlich beantworten</w:t>
      </w:r>
    </w:p>
    <w:p>
      <w:pPr>
        <w:keepNext/>
        <w:spacing w:after="100" w:before="240"/>
      </w:pPr>
      <w:r>
        <w:rPr>
          <w:rFonts w:ascii="Arial" w:cs="Arial" w:eastAsia="Arial" w:hAnsi="Arial"/>
          <w:b/>
          <w:bCs/>
          <w:color w:val="2f4fd6"/>
          <w:sz w:val="23"/>
          <w:szCs w:val="23"/>
        </w:rPr>
        <w:t xml:space="preserve">6  </w:t>
      </w:r>
      <w:r>
        <w:rPr>
          <w:rFonts w:ascii="Arial" w:cs="Arial" w:eastAsia="Arial" w:hAnsi="Arial"/>
          <w:b/>
          <w:bCs/>
          <w:sz w:val="23"/>
          <w:szCs w:val="23"/>
        </w:rPr>
        <w:t xml:space="preserve">Verhandlung und Bonität</w:t>
      </w:r>
    </w:p>
    <w:p>
      <w:pPr>
        <w:tabs>
          <w:tab w:val="left" w:pos="400"/>
        </w:tabs>
        <w:spacing w:after="80"/>
        <w:ind w:left="400" w:hanging="40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sz w:val="20"/>
          <w:szCs w:val="20"/>
        </w:rPr>
        <w:t xml:space="preserve">	Kaufpreisangebote schriftlich geben lassen</w:t>
      </w:r>
    </w:p>
    <w:p>
      <w:pPr>
        <w:tabs>
          <w:tab w:val="left" w:pos="400"/>
        </w:tabs>
        <w:spacing w:after="80"/>
        <w:ind w:left="400" w:hanging="40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sz w:val="20"/>
          <w:szCs w:val="20"/>
        </w:rPr>
        <w:t xml:space="preserve">	Finanzierungsbestätigung der Bank oder Eigenkapitalnachweis anfordern</w:t>
      </w:r>
    </w:p>
    <w:p>
      <w:pPr>
        <w:tabs>
          <w:tab w:val="left" w:pos="400"/>
        </w:tabs>
        <w:spacing w:after="80"/>
        <w:ind w:left="400" w:hanging="40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sz w:val="20"/>
          <w:szCs w:val="20"/>
        </w:rPr>
        <w:t xml:space="preserve">	Preis, Übergabetermin und mitverkauftes Inventar (z. B. Küche) festhalten</w:t>
      </w:r>
    </w:p>
    <w:p>
      <w:pPr>
        <w:tabs>
          <w:tab w:val="left" w:pos="400"/>
        </w:tabs>
        <w:spacing w:after="80"/>
        <w:ind w:left="400" w:hanging="40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sz w:val="20"/>
          <w:szCs w:val="20"/>
        </w:rPr>
        <w:t xml:space="preserve">	Keine Schlüssel und keine Nutzung vor der Kaufpreiszahlung zusagen</w:t>
      </w:r>
    </w:p>
    <w:p>
      <w:pPr>
        <w:keepNext/>
        <w:spacing w:after="100" w:before="240"/>
      </w:pPr>
      <w:r>
        <w:rPr>
          <w:rFonts w:ascii="Arial" w:cs="Arial" w:eastAsia="Arial" w:hAnsi="Arial"/>
          <w:b/>
          <w:bCs/>
          <w:color w:val="2f4fd6"/>
          <w:sz w:val="23"/>
          <w:szCs w:val="23"/>
        </w:rPr>
        <w:t xml:space="preserve">7  </w:t>
      </w:r>
      <w:r>
        <w:rPr>
          <w:rFonts w:ascii="Arial" w:cs="Arial" w:eastAsia="Arial" w:hAnsi="Arial"/>
          <w:b/>
          <w:bCs/>
          <w:sz w:val="23"/>
          <w:szCs w:val="23"/>
        </w:rPr>
        <w:t xml:space="preserve">Notar und Kaufvertrag</w:t>
      </w:r>
    </w:p>
    <w:p>
      <w:pPr>
        <w:tabs>
          <w:tab w:val="left" w:pos="400"/>
        </w:tabs>
        <w:spacing w:after="80"/>
        <w:ind w:left="400" w:hanging="40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sz w:val="20"/>
          <w:szCs w:val="20"/>
        </w:rPr>
        <w:t xml:space="preserve">	Notar festlegen; die Kosten trägt meist der Käufer</w:t>
      </w:r>
    </w:p>
    <w:p>
      <w:pPr>
        <w:tabs>
          <w:tab w:val="left" w:pos="400"/>
        </w:tabs>
        <w:spacing w:after="80"/>
        <w:ind w:left="400" w:hanging="40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sz w:val="20"/>
          <w:szCs w:val="20"/>
        </w:rPr>
        <w:t xml:space="preserve">	Vertragsentwurf prüfen: Kaufpreis, Fälligkeit, Übergabe, Haftungsausschluss</w:t>
      </w:r>
    </w:p>
    <w:p>
      <w:pPr>
        <w:tabs>
          <w:tab w:val="left" w:pos="400"/>
        </w:tabs>
        <w:spacing w:after="80"/>
        <w:ind w:left="400" w:hanging="40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sz w:val="20"/>
          <w:szCs w:val="20"/>
        </w:rPr>
        <w:t xml:space="preserve">	Bekannte Mängel im Vertrag benennen lassen</w:t>
      </w:r>
    </w:p>
    <w:p>
      <w:pPr>
        <w:tabs>
          <w:tab w:val="left" w:pos="400"/>
        </w:tabs>
        <w:spacing w:after="80"/>
        <w:ind w:left="400" w:hanging="40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sz w:val="20"/>
          <w:szCs w:val="20"/>
        </w:rPr>
        <w:t xml:space="preserve">	Bank um Löschungsunterlagen für eingetragene Grundschulden bitten</w:t>
      </w:r>
    </w:p>
    <w:p>
      <w:pPr>
        <w:tabs>
          <w:tab w:val="left" w:pos="400"/>
        </w:tabs>
        <w:spacing w:after="80"/>
        <w:ind w:left="400" w:hanging="40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sz w:val="20"/>
          <w:szCs w:val="20"/>
        </w:rPr>
        <w:t xml:space="preserve">	Zum Beurkundungstermin: Personalausweis und Steuer-ID</w:t>
      </w:r>
    </w:p>
    <w:p>
      <w:pPr>
        <w:tabs>
          <w:tab w:val="left" w:pos="400"/>
        </w:tabs>
        <w:spacing w:after="80"/>
        <w:ind w:left="400" w:hanging="40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sz w:val="20"/>
          <w:szCs w:val="20"/>
        </w:rPr>
        <w:t xml:space="preserve">	Zahlungseingang prüfen, bevor Sie Schlüssel übergeben</w:t>
      </w:r>
    </w:p>
    <w:p>
      <w:pPr>
        <w:keepNext/>
        <w:spacing w:after="100" w:before="240"/>
      </w:pPr>
      <w:r>
        <w:rPr>
          <w:rFonts w:ascii="Arial" w:cs="Arial" w:eastAsia="Arial" w:hAnsi="Arial"/>
          <w:b/>
          <w:bCs/>
          <w:color w:val="2f4fd6"/>
          <w:sz w:val="23"/>
          <w:szCs w:val="23"/>
        </w:rPr>
        <w:t xml:space="preserve">8  </w:t>
      </w:r>
      <w:r>
        <w:rPr>
          <w:rFonts w:ascii="Arial" w:cs="Arial" w:eastAsia="Arial" w:hAnsi="Arial"/>
          <w:b/>
          <w:bCs/>
          <w:sz w:val="23"/>
          <w:szCs w:val="23"/>
        </w:rPr>
        <w:t xml:space="preserve">Übergabe</w:t>
      </w:r>
    </w:p>
    <w:p>
      <w:pPr>
        <w:tabs>
          <w:tab w:val="left" w:pos="400"/>
        </w:tabs>
        <w:spacing w:after="80"/>
        <w:ind w:left="400" w:hanging="40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sz w:val="20"/>
          <w:szCs w:val="20"/>
        </w:rPr>
        <w:t xml:space="preserve">	Übergabeprotokoll: Zählerstände, Schlüssel, Zustand, bekannte Mängel</w:t>
      </w:r>
    </w:p>
    <w:p>
      <w:pPr>
        <w:tabs>
          <w:tab w:val="left" w:pos="400"/>
        </w:tabs>
        <w:spacing w:after="80"/>
        <w:ind w:left="400" w:hanging="40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sz w:val="20"/>
          <w:szCs w:val="20"/>
        </w:rPr>
        <w:t xml:space="preserve">	Bedienungsanleitungen, Wartungsnachweise und Schlüsselliste übergeben</w:t>
      </w:r>
    </w:p>
    <w:p>
      <w:pPr>
        <w:tabs>
          <w:tab w:val="left" w:pos="400"/>
        </w:tabs>
        <w:spacing w:after="80"/>
        <w:ind w:left="400" w:hanging="40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sz w:val="20"/>
          <w:szCs w:val="20"/>
        </w:rPr>
        <w:t xml:space="preserve">	Versorger und Wohngebäudeversicherung über den Eigentümerwechsel informieren</w:t>
      </w:r>
    </w:p>
    <w:p>
      <w:pPr>
        <w:tabs>
          <w:tab w:val="left" w:pos="400"/>
        </w:tabs>
        <w:spacing w:after="80"/>
        <w:ind w:left="400" w:hanging="40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sz w:val="20"/>
          <w:szCs w:val="20"/>
        </w:rPr>
        <w:t xml:space="preserve">	Bei Eigentumswohnung: Hausverwaltung informieren</w:t>
      </w:r>
    </w:p>
    <w:p>
      <w:pPr>
        <w:tabs>
          <w:tab w:val="left" w:pos="400"/>
        </w:tabs>
        <w:spacing w:after="80"/>
        <w:ind w:left="400" w:hanging="40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sz w:val="20"/>
          <w:szCs w:val="20"/>
        </w:rPr>
        <w:t xml:space="preserve">	Bei Vermietung: Mieter informieren, Kaution und Mietvertrag übergeben</w:t>
      </w:r>
    </w:p>
    <w:p>
      <w:pPr>
        <w:keepNext/>
        <w:spacing w:after="80" w:before="36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Kontakte und Termine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400"/>
        <w:gridCol w:w="6238"/>
      </w:tblGrid>
      <w:tr>
        <w:trPr>
          <w:cantSplit/>
        </w:trPr>
        <w:tc>
          <w:tcPr>
            <w:tcW w:type="dxa" w:w="3400"/>
            <w:tcMar>
              <w:top w:type="dxa" w:w="160"/>
              <w:left w:type="dxa" w:w="0"/>
              <w:bottom w:type="dxa" w:w="40"/>
              <w:right w:type="dxa" w:w="2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Notariat</w:t>
            </w:r>
          </w:p>
        </w:tc>
        <w:tc>
          <w:tcPr>
            <w:tcW w:type="dxa" w:w="6238"/>
            <w:tcBorders>
              <w:bottom w:val="single" w:color="c9c6bf" w:sz="4"/>
            </w:tcBorders>
            <w:tcMar>
              <w:top w:type="dxa" w:w="160"/>
              <w:left w:type="dxa" w:w="0"/>
              <w:bottom w:type="dxa" w:w="40"/>
              <w:right w:type="dxa" w:w="0"/>
            </w:tcMar>
          </w:tcPr>
          <w:p/>
        </w:tc>
      </w:tr>
      <w:tr>
        <w:trPr>
          <w:cantSplit/>
        </w:trPr>
        <w:tc>
          <w:tcPr>
            <w:tcW w:type="dxa" w:w="3400"/>
            <w:tcMar>
              <w:top w:type="dxa" w:w="160"/>
              <w:left w:type="dxa" w:w="0"/>
              <w:bottom w:type="dxa" w:w="40"/>
              <w:right w:type="dxa" w:w="2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Bank (Ablösung, Löschung)</w:t>
            </w:r>
          </w:p>
        </w:tc>
        <w:tc>
          <w:tcPr>
            <w:tcW w:type="dxa" w:w="6238"/>
            <w:tcBorders>
              <w:bottom w:val="single" w:color="c9c6bf" w:sz="4"/>
            </w:tcBorders>
            <w:tcMar>
              <w:top w:type="dxa" w:w="160"/>
              <w:left w:type="dxa" w:w="0"/>
              <w:bottom w:type="dxa" w:w="40"/>
              <w:right w:type="dxa" w:w="0"/>
            </w:tcMar>
          </w:tcPr>
          <w:p/>
        </w:tc>
      </w:tr>
      <w:tr>
        <w:trPr>
          <w:cantSplit/>
        </w:trPr>
        <w:tc>
          <w:tcPr>
            <w:tcW w:type="dxa" w:w="3400"/>
            <w:tcMar>
              <w:top w:type="dxa" w:w="160"/>
              <w:left w:type="dxa" w:w="0"/>
              <w:bottom w:type="dxa" w:w="40"/>
              <w:right w:type="dxa" w:w="2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Hausverwaltung</w:t>
            </w:r>
          </w:p>
        </w:tc>
        <w:tc>
          <w:tcPr>
            <w:tcW w:type="dxa" w:w="6238"/>
            <w:tcBorders>
              <w:bottom w:val="single" w:color="c9c6bf" w:sz="4"/>
            </w:tcBorders>
            <w:tcMar>
              <w:top w:type="dxa" w:w="160"/>
              <w:left w:type="dxa" w:w="0"/>
              <w:bottom w:type="dxa" w:w="40"/>
              <w:right w:type="dxa" w:w="0"/>
            </w:tcMar>
          </w:tcPr>
          <w:p/>
        </w:tc>
      </w:tr>
      <w:tr>
        <w:trPr>
          <w:cantSplit/>
        </w:trPr>
        <w:tc>
          <w:tcPr>
            <w:tcW w:type="dxa" w:w="3400"/>
            <w:tcMar>
              <w:top w:type="dxa" w:w="160"/>
              <w:left w:type="dxa" w:w="0"/>
              <w:bottom w:type="dxa" w:w="40"/>
              <w:right w:type="dxa" w:w="2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Energieausweis, Gutachten</w:t>
            </w:r>
          </w:p>
        </w:tc>
        <w:tc>
          <w:tcPr>
            <w:tcW w:type="dxa" w:w="6238"/>
            <w:tcBorders>
              <w:bottom w:val="single" w:color="c9c6bf" w:sz="4"/>
            </w:tcBorders>
            <w:tcMar>
              <w:top w:type="dxa" w:w="160"/>
              <w:left w:type="dxa" w:w="0"/>
              <w:bottom w:type="dxa" w:w="40"/>
              <w:right w:type="dxa" w:w="0"/>
            </w:tcMar>
          </w:tcPr>
          <w:p/>
        </w:tc>
      </w:tr>
      <w:tr>
        <w:trPr>
          <w:cantSplit/>
        </w:trPr>
        <w:tc>
          <w:tcPr>
            <w:tcW w:type="dxa" w:w="3400"/>
            <w:tcMar>
              <w:top w:type="dxa" w:w="160"/>
              <w:left w:type="dxa" w:w="0"/>
              <w:bottom w:type="dxa" w:w="40"/>
              <w:right w:type="dxa" w:w="2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Käufer</w:t>
            </w:r>
          </w:p>
        </w:tc>
        <w:tc>
          <w:tcPr>
            <w:tcW w:type="dxa" w:w="6238"/>
            <w:tcBorders>
              <w:bottom w:val="single" w:color="c9c6bf" w:sz="4"/>
            </w:tcBorders>
            <w:tcMar>
              <w:top w:type="dxa" w:w="160"/>
              <w:left w:type="dxa" w:w="0"/>
              <w:bottom w:type="dxa" w:w="40"/>
              <w:right w:type="dxa" w:w="0"/>
            </w:tcMar>
          </w:tcPr>
          <w:p/>
        </w:tc>
      </w:tr>
      <w:tr>
        <w:trPr>
          <w:cantSplit/>
        </w:trPr>
        <w:tc>
          <w:tcPr>
            <w:tcW w:type="dxa" w:w="3400"/>
            <w:tcMar>
              <w:top w:type="dxa" w:w="160"/>
              <w:left w:type="dxa" w:w="0"/>
              <w:bottom w:type="dxa" w:w="40"/>
              <w:right w:type="dxa" w:w="2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Beurkundungstermin</w:t>
            </w:r>
          </w:p>
        </w:tc>
        <w:tc>
          <w:tcPr>
            <w:tcW w:type="dxa" w:w="6238"/>
            <w:tcBorders>
              <w:bottom w:val="single" w:color="c9c6bf" w:sz="4"/>
            </w:tcBorders>
            <w:tcMar>
              <w:top w:type="dxa" w:w="160"/>
              <w:left w:type="dxa" w:w="0"/>
              <w:bottom w:type="dxa" w:w="40"/>
              <w:right w:type="dxa" w:w="0"/>
            </w:tcMar>
          </w:tcPr>
          <w:p/>
        </w:tc>
      </w:tr>
      <w:tr>
        <w:trPr>
          <w:cantSplit/>
        </w:trPr>
        <w:tc>
          <w:tcPr>
            <w:tcW w:type="dxa" w:w="3400"/>
            <w:tcMar>
              <w:top w:type="dxa" w:w="160"/>
              <w:left w:type="dxa" w:w="0"/>
              <w:bottom w:type="dxa" w:w="40"/>
              <w:right w:type="dxa" w:w="2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Übergabetermin</w:t>
            </w:r>
          </w:p>
        </w:tc>
        <w:tc>
          <w:tcPr>
            <w:tcW w:type="dxa" w:w="6238"/>
            <w:tcBorders>
              <w:bottom w:val="single" w:color="c9c6bf" w:sz="4"/>
            </w:tcBorders>
            <w:tcMar>
              <w:top w:type="dxa" w:w="160"/>
              <w:left w:type="dxa" w:w="0"/>
              <w:bottom w:type="dxa" w:w="40"/>
              <w:right w:type="dxa" w:w="0"/>
            </w:tcMar>
          </w:tcPr>
          <w:p/>
        </w:tc>
      </w:tr>
    </w:tbl>
    <w:p>
      <w:pPr>
        <w:pageBreakBefore/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Unterlagen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6b7080"/>
          <w:sz w:val="19"/>
          <w:szCs w:val="19"/>
        </w:rPr>
        <w:t xml:space="preserve">Was Sie für Inserat, Besichtigung, Käuferbank und Notar brauchen. Nicht jede Unterlage gibt es für jedes Objekt.</w:t>
      </w:r>
    </w:p>
    <w:p>
      <w:pPr>
        <w:keepNext/>
        <w:spacing w:after="100" w:before="240"/>
      </w:pPr>
      <w:r>
        <w:rPr>
          <w:rFonts w:ascii="Arial" w:cs="Arial" w:eastAsia="Arial" w:hAnsi="Arial"/>
          <w:b/>
          <w:bCs/>
          <w:sz w:val="23"/>
          <w:szCs w:val="23"/>
        </w:rPr>
        <w:t xml:space="preserve">Für Haus und Wohnung</w:t>
      </w:r>
    </w:p>
    <w:tbl>
      <w:tblPr>
        <w:tblW w:type="dxa" w:w="9638"/>
        <w:tblBorders>
          <w:top w:val="single" w:color="c9c6bf" w:sz="4"/>
          <w:left w:val="none" w:color="FFFFFF" w:sz="0"/>
          <w:bottom w:val="single" w:color="c9c6bf" w:sz="4"/>
          <w:right w:val="none" w:color="FFFFFF" w:sz="0"/>
          <w:insideH w:val="single" w:color="c9c6bf" w:sz="4"/>
          <w:insideV w:val="none" w:color="FFFFFF" w:sz="0"/>
        </w:tblBorders>
      </w:tblPr>
      <w:tblGrid>
        <w:gridCol w:w="440"/>
        <w:gridCol w:w="5598"/>
        <w:gridCol w:w="3600"/>
      </w:tblGrid>
      <w:tr>
        <w:trPr>
          <w:cantSplit/>
        </w:trPr>
        <w:tc>
          <w:tcPr>
            <w:tcW w:type="dxa" w:w="440"/>
            <w:tcMar>
              <w:top w:type="dxa" w:w="80"/>
              <w:left w:type="dxa" w:w="0"/>
              <w:bottom w:type="dxa" w:w="80"/>
              <w:right w:type="dxa" w:w="0"/>
            </w:tcMar>
          </w:tcPr>
          <w:p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5598"/>
            <w:tcMar>
              <w:top w:type="dxa" w:w="80"/>
              <w:left w:type="dxa" w:w="0"/>
              <w:bottom w:type="dxa" w:w="80"/>
              <w:right w:type="dxa" w:w="2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Aktueller Grundbuchauszug</w:t>
            </w:r>
          </w:p>
        </w:tc>
        <w:tc>
          <w:tcPr>
            <w:tcW w:type="dxa" w:w="3600"/>
            <w:tcMar>
              <w:top w:type="dxa" w:w="80"/>
              <w:left w:type="dxa" w:w="0"/>
              <w:bottom w:type="dxa" w:w="80"/>
              <w:right w:type="dxa" w:w="0"/>
            </w:tcMar>
          </w:tcPr>
          <w:p>
            <w:r>
              <w:rPr>
                <w:rFonts w:ascii="Arial" w:cs="Arial" w:eastAsia="Arial" w:hAnsi="Arial"/>
                <w:color w:val="6b7080"/>
                <w:sz w:val="18"/>
                <w:szCs w:val="18"/>
              </w:rPr>
              <w:t xml:space="preserve">Grundbuchamt beim Amtsgericht</w:t>
            </w:r>
          </w:p>
        </w:tc>
      </w:tr>
      <w:tr>
        <w:trPr>
          <w:cantSplit/>
        </w:trPr>
        <w:tc>
          <w:tcPr>
            <w:tcW w:type="dxa" w:w="440"/>
            <w:tcMar>
              <w:top w:type="dxa" w:w="80"/>
              <w:left w:type="dxa" w:w="0"/>
              <w:bottom w:type="dxa" w:w="80"/>
              <w:right w:type="dxa" w:w="0"/>
            </w:tcMar>
          </w:tcPr>
          <w:p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5598"/>
            <w:tcMar>
              <w:top w:type="dxa" w:w="80"/>
              <w:left w:type="dxa" w:w="0"/>
              <w:bottom w:type="dxa" w:w="80"/>
              <w:right w:type="dxa" w:w="2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Flurkarte bzw. amtlicher Lageplan</w:t>
            </w:r>
          </w:p>
        </w:tc>
        <w:tc>
          <w:tcPr>
            <w:tcW w:type="dxa" w:w="3600"/>
            <w:tcMar>
              <w:top w:type="dxa" w:w="80"/>
              <w:left w:type="dxa" w:w="0"/>
              <w:bottom w:type="dxa" w:w="80"/>
              <w:right w:type="dxa" w:w="0"/>
            </w:tcMar>
          </w:tcPr>
          <w:p>
            <w:r>
              <w:rPr>
                <w:rFonts w:ascii="Arial" w:cs="Arial" w:eastAsia="Arial" w:hAnsi="Arial"/>
                <w:color w:val="6b7080"/>
                <w:sz w:val="18"/>
                <w:szCs w:val="18"/>
              </w:rPr>
              <w:t xml:space="preserve">Kataster- oder Vermessungsamt, teils online</w:t>
            </w:r>
          </w:p>
        </w:tc>
      </w:tr>
      <w:tr>
        <w:trPr>
          <w:cantSplit/>
        </w:trPr>
        <w:tc>
          <w:tcPr>
            <w:tcW w:type="dxa" w:w="440"/>
            <w:tcMar>
              <w:top w:type="dxa" w:w="80"/>
              <w:left w:type="dxa" w:w="0"/>
              <w:bottom w:type="dxa" w:w="80"/>
              <w:right w:type="dxa" w:w="0"/>
            </w:tcMar>
          </w:tcPr>
          <w:p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5598"/>
            <w:tcMar>
              <w:top w:type="dxa" w:w="80"/>
              <w:left w:type="dxa" w:w="0"/>
              <w:bottom w:type="dxa" w:w="80"/>
              <w:right w:type="dxa" w:w="2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Energieausweis</w:t>
            </w:r>
          </w:p>
        </w:tc>
        <w:tc>
          <w:tcPr>
            <w:tcW w:type="dxa" w:w="3600"/>
            <w:tcMar>
              <w:top w:type="dxa" w:w="80"/>
              <w:left w:type="dxa" w:w="0"/>
              <w:bottom w:type="dxa" w:w="80"/>
              <w:right w:type="dxa" w:w="0"/>
            </w:tcMar>
          </w:tcPr>
          <w:p>
            <w:r>
              <w:rPr>
                <w:rFonts w:ascii="Arial" w:cs="Arial" w:eastAsia="Arial" w:hAnsi="Arial"/>
                <w:color w:val="6b7080"/>
                <w:sz w:val="18"/>
                <w:szCs w:val="18"/>
              </w:rPr>
              <w:t xml:space="preserve">Berechtigte Aussteller, z. B. Energieberater</w:t>
            </w:r>
          </w:p>
        </w:tc>
      </w:tr>
      <w:tr>
        <w:trPr>
          <w:cantSplit/>
        </w:trPr>
        <w:tc>
          <w:tcPr>
            <w:tcW w:type="dxa" w:w="440"/>
            <w:tcMar>
              <w:top w:type="dxa" w:w="80"/>
              <w:left w:type="dxa" w:w="0"/>
              <w:bottom w:type="dxa" w:w="80"/>
              <w:right w:type="dxa" w:w="0"/>
            </w:tcMar>
          </w:tcPr>
          <w:p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5598"/>
            <w:tcMar>
              <w:top w:type="dxa" w:w="80"/>
              <w:left w:type="dxa" w:w="0"/>
              <w:bottom w:type="dxa" w:w="80"/>
              <w:right w:type="dxa" w:w="2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Grundrisse, Schnitte, Ansichten</w:t>
            </w:r>
          </w:p>
        </w:tc>
        <w:tc>
          <w:tcPr>
            <w:tcW w:type="dxa" w:w="3600"/>
            <w:tcMar>
              <w:top w:type="dxa" w:w="80"/>
              <w:left w:type="dxa" w:w="0"/>
              <w:bottom w:type="dxa" w:w="80"/>
              <w:right w:type="dxa" w:w="0"/>
            </w:tcMar>
          </w:tcPr>
          <w:p>
            <w:r>
              <w:rPr>
                <w:rFonts w:ascii="Arial" w:cs="Arial" w:eastAsia="Arial" w:hAnsi="Arial"/>
                <w:color w:val="6b7080"/>
                <w:sz w:val="18"/>
                <w:szCs w:val="18"/>
              </w:rPr>
              <w:t xml:space="preserve">Eigene Bauunterlagen oder Bauamt</w:t>
            </w:r>
          </w:p>
        </w:tc>
      </w:tr>
      <w:tr>
        <w:trPr>
          <w:cantSplit/>
        </w:trPr>
        <w:tc>
          <w:tcPr>
            <w:tcW w:type="dxa" w:w="440"/>
            <w:tcMar>
              <w:top w:type="dxa" w:w="80"/>
              <w:left w:type="dxa" w:w="0"/>
              <w:bottom w:type="dxa" w:w="80"/>
              <w:right w:type="dxa" w:w="0"/>
            </w:tcMar>
          </w:tcPr>
          <w:p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5598"/>
            <w:tcMar>
              <w:top w:type="dxa" w:w="80"/>
              <w:left w:type="dxa" w:w="0"/>
              <w:bottom w:type="dxa" w:w="80"/>
              <w:right w:type="dxa" w:w="2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Wohnflächenberechnung, z. B. nach WoFlV</w:t>
            </w:r>
          </w:p>
        </w:tc>
        <w:tc>
          <w:tcPr>
            <w:tcW w:type="dxa" w:w="3600"/>
            <w:tcMar>
              <w:top w:type="dxa" w:w="80"/>
              <w:left w:type="dxa" w:w="0"/>
              <w:bottom w:type="dxa" w:w="80"/>
              <w:right w:type="dxa" w:w="0"/>
            </w:tcMar>
          </w:tcPr>
          <w:p>
            <w:r>
              <w:rPr>
                <w:rFonts w:ascii="Arial" w:cs="Arial" w:eastAsia="Arial" w:hAnsi="Arial"/>
                <w:color w:val="6b7080"/>
                <w:sz w:val="18"/>
                <w:szCs w:val="18"/>
              </w:rPr>
              <w:t xml:space="preserve">Bauunterlagen, sonst Architekt oder Vermesser</w:t>
            </w:r>
          </w:p>
        </w:tc>
      </w:tr>
      <w:tr>
        <w:trPr>
          <w:cantSplit/>
        </w:trPr>
        <w:tc>
          <w:tcPr>
            <w:tcW w:type="dxa" w:w="440"/>
            <w:tcMar>
              <w:top w:type="dxa" w:w="80"/>
              <w:left w:type="dxa" w:w="0"/>
              <w:bottom w:type="dxa" w:w="80"/>
              <w:right w:type="dxa" w:w="0"/>
            </w:tcMar>
          </w:tcPr>
          <w:p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5598"/>
            <w:tcMar>
              <w:top w:type="dxa" w:w="80"/>
              <w:left w:type="dxa" w:w="0"/>
              <w:bottom w:type="dxa" w:w="80"/>
              <w:right w:type="dxa" w:w="2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Baugenehmigung, Baupläne, Baubeschreibung</w:t>
            </w:r>
          </w:p>
        </w:tc>
        <w:tc>
          <w:tcPr>
            <w:tcW w:type="dxa" w:w="3600"/>
            <w:tcMar>
              <w:top w:type="dxa" w:w="80"/>
              <w:left w:type="dxa" w:w="0"/>
              <w:bottom w:type="dxa" w:w="80"/>
              <w:right w:type="dxa" w:w="0"/>
            </w:tcMar>
          </w:tcPr>
          <w:p>
            <w:r>
              <w:rPr>
                <w:rFonts w:ascii="Arial" w:cs="Arial" w:eastAsia="Arial" w:hAnsi="Arial"/>
                <w:color w:val="6b7080"/>
                <w:sz w:val="18"/>
                <w:szCs w:val="18"/>
              </w:rPr>
              <w:t xml:space="preserve">Eigene Unterlagen oder Bauakte beim Bauamt</w:t>
            </w:r>
          </w:p>
        </w:tc>
      </w:tr>
      <w:tr>
        <w:trPr>
          <w:cantSplit/>
        </w:trPr>
        <w:tc>
          <w:tcPr>
            <w:tcW w:type="dxa" w:w="440"/>
            <w:tcMar>
              <w:top w:type="dxa" w:w="80"/>
              <w:left w:type="dxa" w:w="0"/>
              <w:bottom w:type="dxa" w:w="80"/>
              <w:right w:type="dxa" w:w="0"/>
            </w:tcMar>
          </w:tcPr>
          <w:p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5598"/>
            <w:tcMar>
              <w:top w:type="dxa" w:w="80"/>
              <w:left w:type="dxa" w:w="0"/>
              <w:bottom w:type="dxa" w:w="80"/>
              <w:right w:type="dxa" w:w="2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Nachweise über Modernisierungen</w:t>
            </w:r>
          </w:p>
        </w:tc>
        <w:tc>
          <w:tcPr>
            <w:tcW w:type="dxa" w:w="3600"/>
            <w:tcMar>
              <w:top w:type="dxa" w:w="80"/>
              <w:left w:type="dxa" w:w="0"/>
              <w:bottom w:type="dxa" w:w="80"/>
              <w:right w:type="dxa" w:w="0"/>
            </w:tcMar>
          </w:tcPr>
          <w:p>
            <w:r>
              <w:rPr>
                <w:rFonts w:ascii="Arial" w:cs="Arial" w:eastAsia="Arial" w:hAnsi="Arial"/>
                <w:color w:val="6b7080"/>
                <w:sz w:val="18"/>
                <w:szCs w:val="18"/>
              </w:rPr>
              <w:t xml:space="preserve">Eigene Rechnungen, Garantien, Abnahmen</w:t>
            </w:r>
          </w:p>
        </w:tc>
      </w:tr>
      <w:tr>
        <w:trPr>
          <w:cantSplit/>
        </w:trPr>
        <w:tc>
          <w:tcPr>
            <w:tcW w:type="dxa" w:w="440"/>
            <w:tcMar>
              <w:top w:type="dxa" w:w="80"/>
              <w:left w:type="dxa" w:w="0"/>
              <w:bottom w:type="dxa" w:w="80"/>
              <w:right w:type="dxa" w:w="0"/>
            </w:tcMar>
          </w:tcPr>
          <w:p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5598"/>
            <w:tcMar>
              <w:top w:type="dxa" w:w="80"/>
              <w:left w:type="dxa" w:w="0"/>
              <w:bottom w:type="dxa" w:w="80"/>
              <w:right w:type="dxa" w:w="2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Auskunft aus dem Baulastenverzeichnis</w:t>
            </w:r>
          </w:p>
        </w:tc>
        <w:tc>
          <w:tcPr>
            <w:tcW w:type="dxa" w:w="3600"/>
            <w:tcMar>
              <w:top w:type="dxa" w:w="80"/>
              <w:left w:type="dxa" w:w="0"/>
              <w:bottom w:type="dxa" w:w="80"/>
              <w:right w:type="dxa" w:w="0"/>
            </w:tcMar>
          </w:tcPr>
          <w:p>
            <w:r>
              <w:rPr>
                <w:rFonts w:ascii="Arial" w:cs="Arial" w:eastAsia="Arial" w:hAnsi="Arial"/>
                <w:color w:val="6b7080"/>
                <w:sz w:val="18"/>
                <w:szCs w:val="18"/>
              </w:rPr>
              <w:t xml:space="preserve">Bauaufsichtsbehörde, nicht in jedem Bundesland</w:t>
            </w:r>
          </w:p>
        </w:tc>
      </w:tr>
      <w:tr>
        <w:trPr>
          <w:cantSplit/>
        </w:trPr>
        <w:tc>
          <w:tcPr>
            <w:tcW w:type="dxa" w:w="440"/>
            <w:tcMar>
              <w:top w:type="dxa" w:w="80"/>
              <w:left w:type="dxa" w:w="0"/>
              <w:bottom w:type="dxa" w:w="80"/>
              <w:right w:type="dxa" w:w="0"/>
            </w:tcMar>
          </w:tcPr>
          <w:p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5598"/>
            <w:tcMar>
              <w:top w:type="dxa" w:w="80"/>
              <w:left w:type="dxa" w:w="0"/>
              <w:bottom w:type="dxa" w:w="80"/>
              <w:right w:type="dxa" w:w="2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Bescheinigung über Erschließungsbeiträge</w:t>
            </w:r>
          </w:p>
        </w:tc>
        <w:tc>
          <w:tcPr>
            <w:tcW w:type="dxa" w:w="3600"/>
            <w:tcMar>
              <w:top w:type="dxa" w:w="80"/>
              <w:left w:type="dxa" w:w="0"/>
              <w:bottom w:type="dxa" w:w="80"/>
              <w:right w:type="dxa" w:w="0"/>
            </w:tcMar>
          </w:tcPr>
          <w:p>
            <w:r>
              <w:rPr>
                <w:rFonts w:ascii="Arial" w:cs="Arial" w:eastAsia="Arial" w:hAnsi="Arial"/>
                <w:color w:val="6b7080"/>
                <w:sz w:val="18"/>
                <w:szCs w:val="18"/>
              </w:rPr>
              <w:t xml:space="preserve">Gemeinde oder Stadt</w:t>
            </w:r>
          </w:p>
        </w:tc>
      </w:tr>
      <w:tr>
        <w:trPr>
          <w:cantSplit/>
        </w:trPr>
        <w:tc>
          <w:tcPr>
            <w:tcW w:type="dxa" w:w="440"/>
            <w:tcMar>
              <w:top w:type="dxa" w:w="80"/>
              <w:left w:type="dxa" w:w="0"/>
              <w:bottom w:type="dxa" w:w="80"/>
              <w:right w:type="dxa" w:w="0"/>
            </w:tcMar>
          </w:tcPr>
          <w:p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5598"/>
            <w:tcMar>
              <w:top w:type="dxa" w:w="80"/>
              <w:left w:type="dxa" w:w="0"/>
              <w:bottom w:type="dxa" w:w="80"/>
              <w:right w:type="dxa" w:w="2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Grundsteuerbescheid, Wohngebäudeversicherung</w:t>
            </w:r>
          </w:p>
        </w:tc>
        <w:tc>
          <w:tcPr>
            <w:tcW w:type="dxa" w:w="3600"/>
            <w:tcMar>
              <w:top w:type="dxa" w:w="80"/>
              <w:left w:type="dxa" w:w="0"/>
              <w:bottom w:type="dxa" w:w="80"/>
              <w:right w:type="dxa" w:w="0"/>
            </w:tcMar>
          </w:tcPr>
          <w:p>
            <w:r>
              <w:rPr>
                <w:rFonts w:ascii="Arial" w:cs="Arial" w:eastAsia="Arial" w:hAnsi="Arial"/>
                <w:color w:val="6b7080"/>
                <w:sz w:val="18"/>
                <w:szCs w:val="18"/>
              </w:rPr>
              <w:t xml:space="preserve">Eigene Unterlagen</w:t>
            </w:r>
          </w:p>
        </w:tc>
      </w:tr>
      <w:tr>
        <w:trPr>
          <w:cantSplit/>
        </w:trPr>
        <w:tc>
          <w:tcPr>
            <w:tcW w:type="dxa" w:w="440"/>
            <w:tcMar>
              <w:top w:type="dxa" w:w="80"/>
              <w:left w:type="dxa" w:w="0"/>
              <w:bottom w:type="dxa" w:w="80"/>
              <w:right w:type="dxa" w:w="0"/>
            </w:tcMar>
          </w:tcPr>
          <w:p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5598"/>
            <w:tcMar>
              <w:top w:type="dxa" w:w="80"/>
              <w:left w:type="dxa" w:w="0"/>
              <w:bottom w:type="dxa" w:w="80"/>
              <w:right w:type="dxa" w:w="2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Schornsteinfeger- und Wartungsprotokolle der Heizung</w:t>
            </w:r>
          </w:p>
        </w:tc>
        <w:tc>
          <w:tcPr>
            <w:tcW w:type="dxa" w:w="3600"/>
            <w:tcMar>
              <w:top w:type="dxa" w:w="80"/>
              <w:left w:type="dxa" w:w="0"/>
              <w:bottom w:type="dxa" w:w="80"/>
              <w:right w:type="dxa" w:w="0"/>
            </w:tcMar>
          </w:tcPr>
          <w:p>
            <w:r>
              <w:rPr>
                <w:rFonts w:ascii="Arial" w:cs="Arial" w:eastAsia="Arial" w:hAnsi="Arial"/>
                <w:color w:val="6b7080"/>
                <w:sz w:val="18"/>
                <w:szCs w:val="18"/>
              </w:rPr>
              <w:t xml:space="preserve">Eigene Unterlagen</w:t>
            </w:r>
          </w:p>
        </w:tc>
      </w:tr>
      <w:tr>
        <w:trPr>
          <w:cantSplit/>
        </w:trPr>
        <w:tc>
          <w:tcPr>
            <w:tcW w:type="dxa" w:w="440"/>
            <w:tcMar>
              <w:top w:type="dxa" w:w="80"/>
              <w:left w:type="dxa" w:w="0"/>
              <w:bottom w:type="dxa" w:w="80"/>
              <w:right w:type="dxa" w:w="0"/>
            </w:tcMar>
          </w:tcPr>
          <w:p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5598"/>
            <w:tcMar>
              <w:top w:type="dxa" w:w="80"/>
              <w:left w:type="dxa" w:w="0"/>
              <w:bottom w:type="dxa" w:w="80"/>
              <w:right w:type="dxa" w:w="2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Mietverträge, falls vermietet</w:t>
            </w:r>
          </w:p>
        </w:tc>
        <w:tc>
          <w:tcPr>
            <w:tcW w:type="dxa" w:w="3600"/>
            <w:tcMar>
              <w:top w:type="dxa" w:w="80"/>
              <w:left w:type="dxa" w:w="0"/>
              <w:bottom w:type="dxa" w:w="80"/>
              <w:right w:type="dxa" w:w="0"/>
            </w:tcMar>
          </w:tcPr>
          <w:p>
            <w:r>
              <w:rPr>
                <w:rFonts w:ascii="Arial" w:cs="Arial" w:eastAsia="Arial" w:hAnsi="Arial"/>
                <w:color w:val="6b7080"/>
                <w:sz w:val="18"/>
                <w:szCs w:val="18"/>
              </w:rPr>
              <w:t xml:space="preserve">Eigene Unterlagen</w:t>
            </w:r>
          </w:p>
        </w:tc>
      </w:tr>
      <w:tr>
        <w:trPr>
          <w:cantSplit/>
        </w:trPr>
        <w:tc>
          <w:tcPr>
            <w:tcW w:type="dxa" w:w="440"/>
            <w:tcMar>
              <w:top w:type="dxa" w:w="80"/>
              <w:left w:type="dxa" w:w="0"/>
              <w:bottom w:type="dxa" w:w="80"/>
              <w:right w:type="dxa" w:w="0"/>
            </w:tcMar>
          </w:tcPr>
          <w:p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5598"/>
            <w:tcMar>
              <w:top w:type="dxa" w:w="80"/>
              <w:left w:type="dxa" w:w="0"/>
              <w:bottom w:type="dxa" w:w="80"/>
              <w:right w:type="dxa" w:w="2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Darlehens- und Grundschuldunterlagen</w:t>
            </w:r>
          </w:p>
        </w:tc>
        <w:tc>
          <w:tcPr>
            <w:tcW w:type="dxa" w:w="3600"/>
            <w:tcMar>
              <w:top w:type="dxa" w:w="80"/>
              <w:left w:type="dxa" w:w="0"/>
              <w:bottom w:type="dxa" w:w="80"/>
              <w:right w:type="dxa" w:w="0"/>
            </w:tcMar>
          </w:tcPr>
          <w:p>
            <w:r>
              <w:rPr>
                <w:rFonts w:ascii="Arial" w:cs="Arial" w:eastAsia="Arial" w:hAnsi="Arial"/>
                <w:color w:val="6b7080"/>
                <w:sz w:val="18"/>
                <w:szCs w:val="18"/>
              </w:rPr>
              <w:t xml:space="preserve">Ihre Bank</w:t>
            </w:r>
          </w:p>
        </w:tc>
      </w:tr>
      <w:tr>
        <w:trPr>
          <w:cantSplit/>
        </w:trPr>
        <w:tc>
          <w:tcPr>
            <w:tcW w:type="dxa" w:w="440"/>
            <w:tcMar>
              <w:top w:type="dxa" w:w="80"/>
              <w:left w:type="dxa" w:w="0"/>
              <w:bottom w:type="dxa" w:w="80"/>
              <w:right w:type="dxa" w:w="0"/>
            </w:tcMar>
          </w:tcPr>
          <w:p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5598"/>
            <w:tcMar>
              <w:top w:type="dxa" w:w="80"/>
              <w:left w:type="dxa" w:w="0"/>
              <w:bottom w:type="dxa" w:w="80"/>
              <w:right w:type="dxa" w:w="2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Personalausweis und Steuer-ID</w:t>
            </w:r>
          </w:p>
        </w:tc>
        <w:tc>
          <w:tcPr>
            <w:tcW w:type="dxa" w:w="3600"/>
            <w:tcMar>
              <w:top w:type="dxa" w:w="80"/>
              <w:left w:type="dxa" w:w="0"/>
              <w:bottom w:type="dxa" w:w="80"/>
              <w:right w:type="dxa" w:w="0"/>
            </w:tcMar>
          </w:tcPr>
          <w:p>
            <w:r>
              <w:rPr>
                <w:rFonts w:ascii="Arial" w:cs="Arial" w:eastAsia="Arial" w:hAnsi="Arial"/>
                <w:color w:val="6b7080"/>
                <w:sz w:val="18"/>
                <w:szCs w:val="18"/>
              </w:rPr>
              <w:t xml:space="preserve">Für den Notar</w:t>
            </w:r>
          </w:p>
        </w:tc>
      </w:tr>
    </w:tbl>
    <w:p>
      <w:pPr>
        <w:keepNext/>
        <w:spacing w:after="100" w:before="240"/>
      </w:pPr>
      <w:r>
        <w:rPr>
          <w:rFonts w:ascii="Arial" w:cs="Arial" w:eastAsia="Arial" w:hAnsi="Arial"/>
          <w:b/>
          <w:bCs/>
          <w:sz w:val="23"/>
          <w:szCs w:val="23"/>
        </w:rPr>
        <w:t xml:space="preserve">Zusätzlich bei Eigentumswohnungen</w:t>
      </w:r>
    </w:p>
    <w:tbl>
      <w:tblPr>
        <w:tblW w:type="dxa" w:w="9638"/>
        <w:tblBorders>
          <w:top w:val="single" w:color="c9c6bf" w:sz="4"/>
          <w:left w:val="none" w:color="FFFFFF" w:sz="0"/>
          <w:bottom w:val="single" w:color="c9c6bf" w:sz="4"/>
          <w:right w:val="none" w:color="FFFFFF" w:sz="0"/>
          <w:insideH w:val="single" w:color="c9c6bf" w:sz="4"/>
          <w:insideV w:val="none" w:color="FFFFFF" w:sz="0"/>
        </w:tblBorders>
      </w:tblPr>
      <w:tblGrid>
        <w:gridCol w:w="440"/>
        <w:gridCol w:w="5598"/>
        <w:gridCol w:w="3600"/>
      </w:tblGrid>
      <w:tr>
        <w:trPr>
          <w:cantSplit/>
        </w:trPr>
        <w:tc>
          <w:tcPr>
            <w:tcW w:type="dxa" w:w="440"/>
            <w:tcMar>
              <w:top w:type="dxa" w:w="80"/>
              <w:left w:type="dxa" w:w="0"/>
              <w:bottom w:type="dxa" w:w="80"/>
              <w:right w:type="dxa" w:w="0"/>
            </w:tcMar>
          </w:tcPr>
          <w:p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5598"/>
            <w:tcMar>
              <w:top w:type="dxa" w:w="80"/>
              <w:left w:type="dxa" w:w="0"/>
              <w:bottom w:type="dxa" w:w="80"/>
              <w:right w:type="dxa" w:w="2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Teilungserklärung mit Aufteilungsplan und Gemeinschaftsordnung</w:t>
            </w:r>
          </w:p>
        </w:tc>
        <w:tc>
          <w:tcPr>
            <w:tcW w:type="dxa" w:w="3600"/>
            <w:tcMar>
              <w:top w:type="dxa" w:w="80"/>
              <w:left w:type="dxa" w:w="0"/>
              <w:bottom w:type="dxa" w:w="80"/>
              <w:right w:type="dxa" w:w="0"/>
            </w:tcMar>
          </w:tcPr>
          <w:p>
            <w:r>
              <w:rPr>
                <w:rFonts w:ascii="Arial" w:cs="Arial" w:eastAsia="Arial" w:hAnsi="Arial"/>
                <w:color w:val="6b7080"/>
                <w:sz w:val="18"/>
                <w:szCs w:val="18"/>
              </w:rPr>
              <w:t xml:space="preserve">Hausverwaltung oder Grundbuchamt</w:t>
            </w:r>
          </w:p>
        </w:tc>
      </w:tr>
      <w:tr>
        <w:trPr>
          <w:cantSplit/>
        </w:trPr>
        <w:tc>
          <w:tcPr>
            <w:tcW w:type="dxa" w:w="440"/>
            <w:tcMar>
              <w:top w:type="dxa" w:w="80"/>
              <w:left w:type="dxa" w:w="0"/>
              <w:bottom w:type="dxa" w:w="80"/>
              <w:right w:type="dxa" w:w="0"/>
            </w:tcMar>
          </w:tcPr>
          <w:p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5598"/>
            <w:tcMar>
              <w:top w:type="dxa" w:w="80"/>
              <w:left w:type="dxa" w:w="0"/>
              <w:bottom w:type="dxa" w:w="80"/>
              <w:right w:type="dxa" w:w="2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Protokolle der Eigentümerversammlungen, üblich: letzte drei Jahre</w:t>
            </w:r>
          </w:p>
        </w:tc>
        <w:tc>
          <w:tcPr>
            <w:tcW w:type="dxa" w:w="3600"/>
            <w:tcMar>
              <w:top w:type="dxa" w:w="80"/>
              <w:left w:type="dxa" w:w="0"/>
              <w:bottom w:type="dxa" w:w="80"/>
              <w:right w:type="dxa" w:w="0"/>
            </w:tcMar>
          </w:tcPr>
          <w:p>
            <w:r>
              <w:rPr>
                <w:rFonts w:ascii="Arial" w:cs="Arial" w:eastAsia="Arial" w:hAnsi="Arial"/>
                <w:color w:val="6b7080"/>
                <w:sz w:val="18"/>
                <w:szCs w:val="18"/>
              </w:rPr>
              <w:t xml:space="preserve">Hausverwaltung</w:t>
            </w:r>
          </w:p>
        </w:tc>
      </w:tr>
      <w:tr>
        <w:trPr>
          <w:cantSplit/>
        </w:trPr>
        <w:tc>
          <w:tcPr>
            <w:tcW w:type="dxa" w:w="440"/>
            <w:tcMar>
              <w:top w:type="dxa" w:w="80"/>
              <w:left w:type="dxa" w:w="0"/>
              <w:bottom w:type="dxa" w:w="80"/>
              <w:right w:type="dxa" w:w="0"/>
            </w:tcMar>
          </w:tcPr>
          <w:p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5598"/>
            <w:tcMar>
              <w:top w:type="dxa" w:w="80"/>
              <w:left w:type="dxa" w:w="0"/>
              <w:bottom w:type="dxa" w:w="80"/>
              <w:right w:type="dxa" w:w="2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Beschlusssammlung</w:t>
            </w:r>
          </w:p>
        </w:tc>
        <w:tc>
          <w:tcPr>
            <w:tcW w:type="dxa" w:w="3600"/>
            <w:tcMar>
              <w:top w:type="dxa" w:w="80"/>
              <w:left w:type="dxa" w:w="0"/>
              <w:bottom w:type="dxa" w:w="80"/>
              <w:right w:type="dxa" w:w="0"/>
            </w:tcMar>
          </w:tcPr>
          <w:p>
            <w:r>
              <w:rPr>
                <w:rFonts w:ascii="Arial" w:cs="Arial" w:eastAsia="Arial" w:hAnsi="Arial"/>
                <w:color w:val="6b7080"/>
                <w:sz w:val="18"/>
                <w:szCs w:val="18"/>
              </w:rPr>
              <w:t xml:space="preserve">Hausverwaltung</w:t>
            </w:r>
          </w:p>
        </w:tc>
      </w:tr>
      <w:tr>
        <w:trPr>
          <w:cantSplit/>
        </w:trPr>
        <w:tc>
          <w:tcPr>
            <w:tcW w:type="dxa" w:w="440"/>
            <w:tcMar>
              <w:top w:type="dxa" w:w="80"/>
              <w:left w:type="dxa" w:w="0"/>
              <w:bottom w:type="dxa" w:w="80"/>
              <w:right w:type="dxa" w:w="0"/>
            </w:tcMar>
          </w:tcPr>
          <w:p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5598"/>
            <w:tcMar>
              <w:top w:type="dxa" w:w="80"/>
              <w:left w:type="dxa" w:w="0"/>
              <w:bottom w:type="dxa" w:w="80"/>
              <w:right w:type="dxa" w:w="2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Wirtschaftsplan und letzte Jahresabrechnung</w:t>
            </w:r>
          </w:p>
        </w:tc>
        <w:tc>
          <w:tcPr>
            <w:tcW w:type="dxa" w:w="3600"/>
            <w:tcMar>
              <w:top w:type="dxa" w:w="80"/>
              <w:left w:type="dxa" w:w="0"/>
              <w:bottom w:type="dxa" w:w="80"/>
              <w:right w:type="dxa" w:w="0"/>
            </w:tcMar>
          </w:tcPr>
          <w:p>
            <w:r>
              <w:rPr>
                <w:rFonts w:ascii="Arial" w:cs="Arial" w:eastAsia="Arial" w:hAnsi="Arial"/>
                <w:color w:val="6b7080"/>
                <w:sz w:val="18"/>
                <w:szCs w:val="18"/>
              </w:rPr>
              <w:t xml:space="preserve">Hausverwaltung</w:t>
            </w:r>
          </w:p>
        </w:tc>
      </w:tr>
      <w:tr>
        <w:trPr>
          <w:cantSplit/>
        </w:trPr>
        <w:tc>
          <w:tcPr>
            <w:tcW w:type="dxa" w:w="440"/>
            <w:tcMar>
              <w:top w:type="dxa" w:w="80"/>
              <w:left w:type="dxa" w:w="0"/>
              <w:bottom w:type="dxa" w:w="80"/>
              <w:right w:type="dxa" w:w="0"/>
            </w:tcMar>
          </w:tcPr>
          <w:p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5598"/>
            <w:tcMar>
              <w:top w:type="dxa" w:w="80"/>
              <w:left w:type="dxa" w:w="0"/>
              <w:bottom w:type="dxa" w:w="80"/>
              <w:right w:type="dxa" w:w="2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Höhe der Erhaltungsrücklage</w:t>
            </w:r>
          </w:p>
        </w:tc>
        <w:tc>
          <w:tcPr>
            <w:tcW w:type="dxa" w:w="3600"/>
            <w:tcMar>
              <w:top w:type="dxa" w:w="80"/>
              <w:left w:type="dxa" w:w="0"/>
              <w:bottom w:type="dxa" w:w="80"/>
              <w:right w:type="dxa" w:w="0"/>
            </w:tcMar>
          </w:tcPr>
          <w:p>
            <w:r>
              <w:rPr>
                <w:rFonts w:ascii="Arial" w:cs="Arial" w:eastAsia="Arial" w:hAnsi="Arial"/>
                <w:color w:val="6b7080"/>
                <w:sz w:val="18"/>
                <w:szCs w:val="18"/>
              </w:rPr>
              <w:t xml:space="preserve">Hausverwaltung</w:t>
            </w:r>
          </w:p>
        </w:tc>
      </w:tr>
      <w:tr>
        <w:trPr>
          <w:cantSplit/>
        </w:trPr>
        <w:tc>
          <w:tcPr>
            <w:tcW w:type="dxa" w:w="440"/>
            <w:tcMar>
              <w:top w:type="dxa" w:w="80"/>
              <w:left w:type="dxa" w:w="0"/>
              <w:bottom w:type="dxa" w:w="80"/>
              <w:right w:type="dxa" w:w="0"/>
            </w:tcMar>
          </w:tcPr>
          <w:p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5598"/>
            <w:tcMar>
              <w:top w:type="dxa" w:w="80"/>
              <w:left w:type="dxa" w:w="0"/>
              <w:bottom w:type="dxa" w:w="80"/>
              <w:right w:type="dxa" w:w="2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Energieausweis des Gebäudes</w:t>
            </w:r>
          </w:p>
        </w:tc>
        <w:tc>
          <w:tcPr>
            <w:tcW w:type="dxa" w:w="3600"/>
            <w:tcMar>
              <w:top w:type="dxa" w:w="80"/>
              <w:left w:type="dxa" w:w="0"/>
              <w:bottom w:type="dxa" w:w="80"/>
              <w:right w:type="dxa" w:w="0"/>
            </w:tcMar>
          </w:tcPr>
          <w:p>
            <w:r>
              <w:rPr>
                <w:rFonts w:ascii="Arial" w:cs="Arial" w:eastAsia="Arial" w:hAnsi="Arial"/>
                <w:color w:val="6b7080"/>
                <w:sz w:val="18"/>
                <w:szCs w:val="18"/>
              </w:rPr>
              <w:t xml:space="preserve">Hausverwaltung</w:t>
            </w:r>
          </w:p>
        </w:tc>
      </w:tr>
      <w:tr>
        <w:trPr>
          <w:cantSplit/>
        </w:trPr>
        <w:tc>
          <w:tcPr>
            <w:tcW w:type="dxa" w:w="440"/>
            <w:tcMar>
              <w:top w:type="dxa" w:w="80"/>
              <w:left w:type="dxa" w:w="0"/>
              <w:bottom w:type="dxa" w:w="80"/>
              <w:right w:type="dxa" w:w="0"/>
            </w:tcMar>
          </w:tcPr>
          <w:p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5598"/>
            <w:tcMar>
              <w:top w:type="dxa" w:w="80"/>
              <w:left w:type="dxa" w:w="0"/>
              <w:bottom w:type="dxa" w:w="80"/>
              <w:right w:type="dxa" w:w="2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Verwalterzustimmung, falls die Teilungserklärung sie verlangt</w:t>
            </w:r>
          </w:p>
        </w:tc>
        <w:tc>
          <w:tcPr>
            <w:tcW w:type="dxa" w:w="3600"/>
            <w:tcMar>
              <w:top w:type="dxa" w:w="80"/>
              <w:left w:type="dxa" w:w="0"/>
              <w:bottom w:type="dxa" w:w="80"/>
              <w:right w:type="dxa" w:w="0"/>
            </w:tcMar>
          </w:tcPr>
          <w:p>
            <w:r>
              <w:rPr>
                <w:rFonts w:ascii="Arial" w:cs="Arial" w:eastAsia="Arial" w:hAnsi="Arial"/>
                <w:color w:val="6b7080"/>
                <w:sz w:val="18"/>
                <w:szCs w:val="18"/>
              </w:rPr>
              <w:t xml:space="preserve">Hausverwaltung, meist über den Notar</w:t>
            </w:r>
          </w:p>
        </w:tc>
      </w:tr>
    </w:tbl>
    <w:p>
      <w:pPr>
        <w:spacing w:before="360"/>
      </w:pPr>
      <w:r>
        <w:rPr>
          <w:rFonts w:ascii="Arial" w:cs="Arial" w:eastAsia="Arial" w:hAnsi="Arial"/>
          <w:i/>
          <w:iCs/>
          <w:color w:val="6b7080"/>
          <w:sz w:val="18"/>
          <w:szCs w:val="18"/>
        </w:rPr>
        <w:t xml:space="preserve">Diese Checkliste ist eine Arbeitshilfe nach dem Stand von Oktober 2026. Sie ersetzt keine Rechts- oder Steuerberatung. Welche Unterlagen Bank und Notar im Einzelfall verlangen, erfahren Sie dort.</w:t>
      </w:r>
    </w:p>
    <w:p>
      <w:pPr>
        <w:spacing w:before="0"/>
      </w:pPr>
      <w:r>
        <w:rPr>
          <w:rFonts w:ascii="Arial" w:cs="Arial" w:eastAsia="Arial" w:hAnsi="Arial"/>
          <w:i/>
          <w:iCs/>
          <w:color w:val="6b7080"/>
          <w:sz w:val="18"/>
          <w:szCs w:val="18"/>
        </w:rPr>
        <w:t xml:space="preserve">Ausführliche Erklärungen: lagepin.de/ratgeber/haus-privat-verkaufen-checkliste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7080"/>
        <w:sz w:val="17"/>
        <w:szCs w:val="17"/>
      </w:rPr>
      <w:t xml:space="preserve">Checkliste: Haus oder Wohnung privat verkaufen · lagepin.de · Seite </w:t>
    </w:r>
    <w:r>
      <w:rPr>
        <w:rFonts w:ascii="Arial" w:cs="Arial" w:eastAsia="Arial" w:hAnsi="Arial"/>
        <w:color w:val="6b7080"/>
        <w:sz w:val="17"/>
        <w:szCs w:val="17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b7080"/>
        <w:sz w:val="17"/>
        <w:szCs w:val="17"/>
      </w:rPr>
      <w:t xml:space="preserve"> von </w:t>
    </w:r>
    <w:r>
      <w:rPr>
        <w:rFonts w:ascii="Arial" w:cs="Arial" w:eastAsia="Arial" w:hAnsi="Arial"/>
        <w:color w:val="6b7080"/>
        <w:sz w:val="17"/>
        <w:szCs w:val="17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32733"/>
        <w:sz w:val="20"/>
        <w:szCs w:val="20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Checkliste: Haus oder Wohnung privat verkaufen</dc:title>
  <dc:creator>lagepin.de</dc:creator>
  <dc:description>Ablauf und Unterlagen für den privaten Immobilienverkauf</dc:description>
  <cp:lastModifiedBy>Un-named</cp:lastModifiedBy>
  <cp:revision>1</cp:revision>
  <dcterms:created xsi:type="dcterms:W3CDTF">2026-10-10T23:44:00.256Z</dcterms:created>
  <dcterms:modified xsi:type="dcterms:W3CDTF">2026-10-10T23:44:00.256Z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